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184913A" w:rsidP="37A95EEE" w:rsidRDefault="4184913A" w14:paraId="43736746" w14:textId="4F7DA4F4">
      <w:pPr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</w:pP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Iluminación</w:t>
      </w:r>
      <w:r w:rsidRPr="37A95EEE" w:rsidR="720645E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,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ergonomía</w:t>
      </w:r>
      <w:r w:rsidRPr="37A95EEE" w:rsidR="720645E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e identidad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: claves para oficinas más saludables y productivas</w:t>
      </w:r>
    </w:p>
    <w:p w:rsidR="00485AC9" w:rsidP="43F7C118" w:rsidRDefault="4184913A" w14:paraId="404B6362" w14:textId="32B9AE21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s-ES"/>
        </w:rPr>
      </w:pP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Ciudad de México, </w:t>
      </w:r>
      <w:r w:rsidRPr="37A95EEE" w:rsidR="75CD168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24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de febrero de 2025.-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En el entorno laboral </w:t>
      </w:r>
      <w:r w:rsidRPr="37A95EEE" w:rsidR="13AC1202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contemporáneo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, el cuidado de la iluminación en oficinas es un factor determinante para </w:t>
      </w:r>
      <w:r w:rsidRPr="37A95EEE" w:rsidR="56500CE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el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bienestar y </w:t>
      </w:r>
      <w:r w:rsidRPr="37A95EEE" w:rsidR="27F927C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la 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productividad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de los colaboradores. Como indica una </w:t>
      </w:r>
      <w:hyperlink r:id="R73e0fb86ab7f4366">
        <w:r w:rsidRPr="37A95EEE" w:rsidR="4184913A">
          <w:rPr>
            <w:rStyle w:val="Hipervnculo"/>
            <w:rFonts w:ascii="Calibri" w:hAnsi="Calibri" w:eastAsia="Calibri" w:cs="Calibri"/>
            <w:sz w:val="20"/>
            <w:szCs w:val="20"/>
            <w:lang w:val="es-ES"/>
          </w:rPr>
          <w:t>publicación</w:t>
        </w:r>
      </w:hyperlink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del Instituto Nacional de Seguridad y Salud en el Trabajo (INSST) de España, es común que en los espacios productivos el acondicionamiento de la iluminación se limite sólo al aspecto cuantitativo (es decir, </w:t>
      </w:r>
      <w:r w:rsidRPr="37A95EEE" w:rsidR="77E9600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que </w:t>
      </w:r>
      <w:r w:rsidRPr="37A95EEE" w:rsidR="7243E245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cumpl</w:t>
      </w:r>
      <w:r w:rsidRPr="37A95EEE" w:rsidR="4A0BAAF9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a</w:t>
      </w:r>
      <w:r w:rsidRPr="37A95EEE" w:rsidR="7243E245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con los niveles de iluminación requeridos por norma</w:t>
      </w:r>
      <w:commentRangeStart w:id="0"/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),</w:t>
      </w:r>
      <w:commentRangeEnd w:id="0"/>
      <w:r>
        <w:rPr>
          <w:rStyle w:val="CommentReference"/>
        </w:rPr>
        <w:commentReference w:id="0"/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sin considerar otros </w:t>
      </w:r>
      <w:r w:rsidRPr="37A95EEE" w:rsidR="23F1CD9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pun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tos importantes 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referentes a 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su calidad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.</w:t>
      </w:r>
    </w:p>
    <w:p w:rsidR="00485AC9" w:rsidP="2A172991" w:rsidRDefault="4184913A" w14:paraId="33EDEFC6" w14:textId="381300CC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Existe evidencia suficiente de que una iluminación con deficiencias puede conllevar efectos negativos, entre los que esa institución destaca problemas para la seguridad, complicaciones de salud visual e incluso </w:t>
      </w: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afectaciones psicológicas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en las personas expuestas. Desde la academia, mucho se ha estudiado en torno a los posibles vínculos entre la exposición a la luz en los lugares de trabajo y </w:t>
      </w:r>
      <w:hyperlink r:id="rId15">
        <w:r w:rsidRPr="2A172991">
          <w:rPr>
            <w:rStyle w:val="Hipervnculo"/>
            <w:rFonts w:ascii="Calibri" w:hAnsi="Calibri" w:eastAsia="Calibri" w:cs="Calibri"/>
            <w:sz w:val="20"/>
            <w:szCs w:val="20"/>
          </w:rPr>
          <w:t>la productividad o el rendimiento</w:t>
        </w:r>
      </w:hyperlink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de los ocupantes; pero poco se sabe sobre </w:t>
      </w: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el papel de la luz en la calidad de vida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de los oficinistas particularmente.</w:t>
      </w:r>
    </w:p>
    <w:p w:rsidR="00485AC9" w:rsidP="2A172991" w:rsidRDefault="4184913A" w14:paraId="059996DF" w14:textId="265AC8AD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De acuerdo con 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Juan Carlos Laso, CEO de </w:t>
      </w:r>
      <w:hyperlink r:id="R92a9e232d93e42d9">
        <w:r w:rsidRPr="37A95EEE" w:rsidR="4184913A">
          <w:rPr>
            <w:rStyle w:val="Hipervnculo"/>
            <w:rFonts w:ascii="Calibri" w:hAnsi="Calibri" w:eastAsia="Calibri" w:cs="Calibri"/>
            <w:b w:val="1"/>
            <w:bCs w:val="1"/>
            <w:sz w:val="20"/>
            <w:szCs w:val="20"/>
          </w:rPr>
          <w:t xml:space="preserve">Grupo </w:t>
        </w:r>
        <w:r w:rsidRPr="37A95EEE" w:rsidR="4184913A">
          <w:rPr>
            <w:rStyle w:val="Hipervnculo"/>
            <w:rFonts w:ascii="Calibri" w:hAnsi="Calibri" w:eastAsia="Calibri" w:cs="Calibri"/>
            <w:b w:val="1"/>
            <w:bCs w:val="1"/>
            <w:sz w:val="20"/>
            <w:szCs w:val="20"/>
          </w:rPr>
          <w:t>Construlita</w:t>
        </w:r>
      </w:hyperlink>
      <w:r w:rsidRPr="37A95EEE" w:rsidR="7300AD3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, 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referente mexicano con marcas de iluminación profesional, para definir qué tipo de luz implementar en una oficina y cómo distribuirla eficientemente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hay que </w:t>
      </w:r>
      <w:r w:rsidRPr="37A95EEE" w:rsidR="1E44A36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partir del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diseño de iluminación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7A95EEE" w:rsidR="53ACC6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(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especialidad </w:t>
      </w:r>
      <w:r w:rsidRPr="37A95EEE" w:rsidR="565FBBB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arquitectónica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que incorpora la experiencia visual en </w:t>
      </w:r>
      <w:r w:rsidRPr="37A95EEE" w:rsidR="05BD937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un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proyecto</w:t>
      </w:r>
      <w:r w:rsidRPr="37A95EEE" w:rsidR="2DA67E3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)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7A95EEE" w:rsidR="6430901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y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deshacerse de los modelos convencionales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donde sólo se toma en cuenta una dispersión generalizada sin contemplar las di</w:t>
      </w:r>
      <w:r w:rsidRPr="37A95EEE" w:rsidR="68C4AD4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stinta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s 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necesidades laborales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="00485AC9" w:rsidP="37A95EEE" w:rsidRDefault="4A9BC07A" w14:paraId="4BB623F7" w14:textId="094052B7">
      <w:pPr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"</w:t>
      </w:r>
      <w:r w:rsidRPr="37A95EEE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>En una amplia cantidad de oficinas mexicanas, es primordial que los entornos de esos espacios de trabajo sean replanteados, brindando</w:t>
      </w:r>
      <w:r w:rsidRPr="37A95EEE" w:rsidR="5CE315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commentRangeStart w:id="2"/>
      <w:r w:rsidRPr="37A95EEE" w:rsidR="5CE315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soluciones enfocadas en el bienestar de quienes viven el espacio, </w:t>
      </w:r>
      <w:r w:rsidRPr="37A95EEE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>a partir</w:t>
      </w:r>
      <w:commentRangeEnd w:id="2"/>
      <w:r>
        <w:rPr>
          <w:rStyle w:val="CommentReference"/>
        </w:rPr>
        <w:commentReference w:id="2"/>
      </w:r>
      <w:r w:rsidRPr="37A95EEE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 de la </w:t>
      </w:r>
      <w:r w:rsidRPr="37A95EEE" w:rsidR="4184913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lang w:val="es-ES"/>
        </w:rPr>
        <w:t>ergonomía visual</w:t>
      </w:r>
      <w:r w:rsidRPr="37A95EEE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, disciplina enfocada en crear condiciones que minimicen la fatiga ocular y prevengan problemas relacionados con la exposición a una iluminación inadecuada. </w:t>
      </w:r>
      <w:r w:rsidRPr="37A95EEE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Un </w:t>
      </w:r>
      <w:r w:rsidRPr="37A95EEE" w:rsidR="4184913A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sistema de luminarias bien diseñado </w:t>
      </w:r>
      <w:r w:rsidRPr="37A95EEE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>no sólo mejora la eficiencia productiva, sino que también protege la salud de los trabajadores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"; explica.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00485AC9" w:rsidP="2A172991" w:rsidRDefault="4A9BC07A" w14:paraId="495B485E" w14:textId="14F3398E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7A95EEE" w:rsidR="4A9BC07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El papel de una correcta iluminación para la salud e identidad corporativa</w:t>
      </w:r>
      <w:r w:rsidRPr="37A95EEE" w:rsidR="4A9BC07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w:rsidR="00485AC9" w:rsidP="43F7C118" w:rsidRDefault="4184913A" w14:paraId="1A35C023" w14:textId="3E26234C">
      <w:pPr>
        <w:jc w:val="both"/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</w:pP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Para ello, el e</w:t>
      </w:r>
      <w:r w:rsidRPr="43F7C118" w:rsidR="16CC436B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xperto</w:t>
      </w: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resalta la necesidad de </w:t>
      </w:r>
      <w:r w:rsidRPr="43F7C118" w:rsidR="60C65803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impuls</w:t>
      </w: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ar en los ambientes profesionales el concepto de </w:t>
      </w:r>
      <w:r w:rsidRPr="43F7C118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"iluminación centrada en el ser humano"</w:t>
      </w: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. Mejor conocido como </w:t>
      </w:r>
      <w:r w:rsidRPr="43F7C118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Human </w:t>
      </w:r>
      <w:r w:rsidRPr="43F7C118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>Centric</w:t>
      </w:r>
      <w:r w:rsidRPr="43F7C118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3F7C118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>Lighting</w:t>
      </w:r>
      <w:r w:rsidRPr="43F7C118" w:rsidR="4184913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(HCL</w:t>
      </w:r>
      <w:r w:rsidRPr="43F7C118" w:rsidR="2747DB8F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)</w:t>
      </w: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, es un enfoque de diseño y aplicación de sistemas de iluminación pensado para apoyar los </w:t>
      </w:r>
      <w:r w:rsidRPr="43F7C118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ritmos y procesos naturales </w:t>
      </w: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del cuerpo humano</w:t>
      </w:r>
      <w:r w:rsidRPr="43F7C118" w:rsidR="10E437CD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, ajustando las luminarias para que </w:t>
      </w:r>
      <w:r w:rsidRPr="43F7C118" w:rsidR="5C18527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imiten el ciclo de la luz del sol y se acoplen a nuestro "reloj biológico" o ciclo circadiano. </w:t>
      </w:r>
      <w:r w:rsidRPr="43F7C118" w:rsidR="62F9AE0C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Según </w:t>
      </w:r>
      <w:hyperlink r:id="Rcf8d13ea238d40c7">
        <w:r w:rsidRPr="43F7C118" w:rsidR="62F9AE0C">
          <w:rPr>
            <w:rStyle w:val="Hipervnculo"/>
            <w:rFonts w:ascii="Calibri" w:hAnsi="Calibri" w:eastAsia="Calibri" w:cs="Calibri"/>
            <w:sz w:val="20"/>
            <w:szCs w:val="20"/>
            <w:lang w:val="es-ES"/>
          </w:rPr>
          <w:t>estudios</w:t>
        </w:r>
      </w:hyperlink>
      <w:r w:rsidRPr="43F7C118" w:rsidR="62F9AE0C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de la Escuela Católica de Negocios y Economía de Lisboa, e</w:t>
      </w: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ntender la </w:t>
      </w:r>
      <w:hyperlink r:id="Ref5d49d777ac4ab3">
        <w:r w:rsidRPr="43F7C118" w:rsidR="4184913A">
          <w:rPr>
            <w:rStyle w:val="Hipervnculo"/>
            <w:rFonts w:ascii="Calibri" w:hAnsi="Calibri" w:eastAsia="Calibri" w:cs="Calibri"/>
            <w:sz w:val="20"/>
            <w:szCs w:val="20"/>
            <w:lang w:val="es-ES"/>
          </w:rPr>
          <w:t>iluminación de oficinas</w:t>
        </w:r>
      </w:hyperlink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desde el paradigma de la HCL puede ayudar a </w:t>
      </w:r>
      <w:r w:rsidRPr="43F7C118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mejorar el bienestar, la productividad y la calidad del sueño</w:t>
      </w:r>
      <w:r w:rsidRPr="43F7C118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.</w:t>
      </w:r>
    </w:p>
    <w:p w:rsidR="00485AC9" w:rsidP="2A172991" w:rsidRDefault="55695CF9" w14:paraId="1D917684" w14:textId="249CABC4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Además de </w:t>
      </w:r>
      <w:r w:rsidRPr="2A172991" w:rsidR="2C7BD18D">
        <w:rPr>
          <w:rFonts w:ascii="Calibri" w:hAnsi="Calibri" w:eastAsia="Calibri" w:cs="Calibri"/>
          <w:color w:val="000000" w:themeColor="text1"/>
          <w:sz w:val="20"/>
          <w:szCs w:val="20"/>
        </w:rPr>
        <w:t>esos beneficios en los contextos de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oficinas, Juan Carlos Laso agrega que la iluminación puede desempeñar un papel clave en la </w:t>
      </w: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comunicación de la identidad corporativa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. En este sentido, un diseño de iluminación que refleje los valores y la cultura de la empresa puede </w:t>
      </w: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fortalecer la imagen de marca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y crear un ambiente que motive a los colaboradores.</w:t>
      </w:r>
    </w:p>
    <w:p w:rsidR="00485AC9" w:rsidP="37A95EEE" w:rsidRDefault="00485AC9" w14:paraId="470DF8B2" w14:textId="6D622A4A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s-ES"/>
        </w:rPr>
      </w:pPr>
      <w:r w:rsidRPr="37A95EEE" w:rsidR="55695C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"Por ejemplo, en áreas de recepción, la iluminación debe transmitir los valores identitarios de la compañía de manera </w:t>
      </w:r>
      <w:r w:rsidRPr="37A95EEE" w:rsidR="55695CF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lang w:val="es-ES"/>
        </w:rPr>
        <w:t>emocionalmente positiva</w:t>
      </w:r>
      <w:r w:rsidRPr="37A95EEE" w:rsidR="55695C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>, ofreciendo una identidad visual organizacional clara y atractiva.</w:t>
      </w:r>
      <w:r w:rsidRPr="37A95EEE" w:rsidR="55695C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 Integrar soluciones de iluminación que consideren tanto la ergonomía como la identidad corporativa, es esencial para crear espacios de trabajo que </w:t>
      </w:r>
      <w:r w:rsidRPr="37A95EEE" w:rsidR="55695CF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promuevan el bienestar y reflejen los valores </w:t>
      </w:r>
      <w:r w:rsidRPr="37A95EEE" w:rsidR="55695CF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s-ES"/>
        </w:rPr>
        <w:t>de la empresa"</w:t>
      </w:r>
      <w:r w:rsidRPr="37A95EEE" w:rsidR="55695CF9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; añade el CEO de Grupo </w:t>
      </w:r>
      <w:r w:rsidRPr="37A95EEE" w:rsidR="55695CF9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Construlita</w:t>
      </w:r>
      <w:r w:rsidRPr="37A95EEE" w:rsidR="55695CF9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.</w:t>
      </w:r>
      <w:r w:rsidRPr="37A95EEE" w:rsidR="55695CF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00485AC9" w:rsidP="2A172991" w:rsidRDefault="3A099D90" w14:paraId="23E0C8FD" w14:textId="62FB0F25">
      <w:pPr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Sugerencias de iluminación ergonómica </w:t>
      </w:r>
      <w:r w:rsidRPr="2A172991" w:rsidR="642D9830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en</w:t>
      </w: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 oficinas</w:t>
      </w:r>
    </w:p>
    <w:p w:rsidR="00485AC9" w:rsidP="2A172991" w:rsidRDefault="73E9F717" w14:paraId="200F28A0" w14:textId="2DEFE688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Partiendo de que el diseño de iluminación en oficinas debe adaptarse a las necesidades específicas de cada espacio de trabajo, </w:t>
      </w:r>
      <w:r w:rsidRPr="2A172991" w:rsidR="79F74387">
        <w:rPr>
          <w:rFonts w:ascii="Calibri" w:hAnsi="Calibri" w:eastAsia="Calibri" w:cs="Calibri"/>
          <w:color w:val="000000" w:themeColor="text1"/>
          <w:sz w:val="20"/>
          <w:szCs w:val="20"/>
        </w:rPr>
        <w:t>el especialista</w:t>
      </w:r>
      <w:r w:rsidRPr="2A172991" w:rsidR="6308CAD4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comenta que </w:t>
      </w:r>
      <w:r w:rsidRPr="2A172991" w:rsidR="6308CAD4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ciertos enfoques pueden mejorar la ergonomía visual</w:t>
      </w:r>
      <w:r w:rsidRPr="2A172991" w:rsidR="6308CAD4">
        <w:rPr>
          <w:rFonts w:ascii="Calibri" w:hAnsi="Calibri" w:eastAsia="Calibri" w:cs="Calibri"/>
          <w:color w:val="000000" w:themeColor="text1"/>
          <w:sz w:val="20"/>
          <w:szCs w:val="20"/>
        </w:rPr>
        <w:t>, la productividad y la identidad corporativa</w:t>
      </w:r>
      <w:r w:rsidRPr="2A172991" w:rsidR="6E8CC628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dependiendo del </w:t>
      </w:r>
      <w:r w:rsidRPr="2A172991" w:rsidR="6E8CC628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tipo de oficina</w:t>
      </w:r>
      <w:r w:rsidRPr="2A172991" w:rsidR="6E8CC628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. Sus </w:t>
      </w:r>
      <w:r w:rsidRPr="2A172991" w:rsidR="431D99C7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principales </w:t>
      </w:r>
      <w:r w:rsidRPr="2A172991" w:rsidR="6E8CC628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recomendaciones </w:t>
      </w:r>
      <w:r w:rsidRPr="2A172991" w:rsidR="7716C5E4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al respecto </w:t>
      </w:r>
      <w:r w:rsidRPr="2A172991" w:rsidR="6E8CC628">
        <w:rPr>
          <w:rFonts w:ascii="Calibri" w:hAnsi="Calibri" w:eastAsia="Calibri" w:cs="Calibri"/>
          <w:color w:val="000000" w:themeColor="text1"/>
          <w:sz w:val="20"/>
          <w:szCs w:val="20"/>
        </w:rPr>
        <w:t>son:</w:t>
      </w:r>
    </w:p>
    <w:p w:rsidR="00485AC9" w:rsidP="2A172991" w:rsidRDefault="6EC72035" w14:paraId="4ED66E60" w14:textId="697C0D4F">
      <w:pPr>
        <w:pStyle w:val="Prrafodelista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Oficinas abiertas (</w:t>
      </w:r>
      <w:r w:rsidRPr="2A172991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coworking</w:t>
      </w: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, espacios sin cubículos)</w:t>
      </w:r>
    </w:p>
    <w:p w:rsidR="00485AC9" w:rsidP="2A172991" w:rsidRDefault="6EC72035" w14:paraId="5A59217B" w14:textId="26280023">
      <w:pPr>
        <w:pStyle w:val="Prrafodelista"/>
        <w:numPr>
          <w:ilvl w:val="0"/>
          <w:numId w:val="5"/>
        </w:numPr>
        <w:jc w:val="both"/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Tipo de luz</w:t>
      </w:r>
      <w:r w:rsidRPr="2A172991" w:rsidR="2F7772C7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 -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Iluminación general uniforme con temperatura de color neutra (4</w:t>
      </w:r>
      <w:r w:rsidRPr="2A172991" w:rsidR="35E71C23">
        <w:rPr>
          <w:rFonts w:ascii="Calibri" w:hAnsi="Calibri" w:eastAsia="Calibri" w:cs="Calibri"/>
          <w:color w:val="000000" w:themeColor="text1"/>
          <w:sz w:val="20"/>
          <w:szCs w:val="20"/>
        </w:rPr>
        <w:t>,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>000K-5</w:t>
      </w:r>
      <w:r w:rsidRPr="2A172991" w:rsidR="6D89CA41">
        <w:rPr>
          <w:rFonts w:ascii="Calibri" w:hAnsi="Calibri" w:eastAsia="Calibri" w:cs="Calibri"/>
          <w:color w:val="000000" w:themeColor="text1"/>
          <w:sz w:val="20"/>
          <w:szCs w:val="20"/>
        </w:rPr>
        <w:t>,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>000K) para evitar contrastes molestos.</w:t>
      </w:r>
    </w:p>
    <w:p w:rsidR="00485AC9" w:rsidP="2A172991" w:rsidRDefault="6EC72035" w14:paraId="708B5EAD" w14:textId="3D0B6786">
      <w:pPr>
        <w:pStyle w:val="Prrafodelista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Disposición</w:t>
      </w:r>
      <w:r w:rsidRPr="2A172991" w:rsidR="3573C4E2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 -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Uso de luminarias de techo </w:t>
      </w:r>
      <w:hyperlink r:id="rId19">
        <w:r w:rsidRPr="2A172991">
          <w:rPr>
            <w:rStyle w:val="Hipervnculo"/>
            <w:rFonts w:ascii="Calibri" w:hAnsi="Calibri" w:eastAsia="Calibri" w:cs="Calibri"/>
            <w:sz w:val="20"/>
            <w:szCs w:val="20"/>
          </w:rPr>
          <w:t>emp</w:t>
        </w:r>
        <w:r w:rsidRPr="2A172991">
          <w:rPr>
            <w:rStyle w:val="Hipervnculo"/>
            <w:rFonts w:ascii="Calibri" w:hAnsi="Calibri" w:eastAsia="Calibri" w:cs="Calibri"/>
            <w:sz w:val="20"/>
            <w:szCs w:val="20"/>
          </w:rPr>
          <w:t>otradas</w:t>
        </w:r>
      </w:hyperlink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o</w:t>
      </w:r>
      <w:r w:rsidRPr="2A172991" w:rsidR="2AEE2B1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bien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  <w:hyperlink r:id="rId20">
        <w:r w:rsidRPr="2A172991">
          <w:rPr>
            <w:rStyle w:val="Hipervnculo"/>
            <w:rFonts w:ascii="Calibri" w:hAnsi="Calibri" w:eastAsia="Calibri" w:cs="Calibri"/>
            <w:sz w:val="20"/>
            <w:szCs w:val="20"/>
          </w:rPr>
          <w:t>suspendidas</w:t>
        </w:r>
      </w:hyperlink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  <w:r w:rsidRPr="2A172991" w:rsidR="37196FC3">
        <w:rPr>
          <w:rFonts w:ascii="Calibri" w:hAnsi="Calibri" w:eastAsia="Calibri" w:cs="Calibri"/>
          <w:color w:val="000000" w:themeColor="text1"/>
          <w:sz w:val="20"/>
          <w:szCs w:val="20"/>
        </w:rPr>
        <w:t>con difusión homogénea.</w:t>
      </w:r>
    </w:p>
    <w:p w:rsidR="00485AC9" w:rsidP="2A172991" w:rsidRDefault="6EC72035" w14:paraId="5F684544" w14:textId="3B66CFF4">
      <w:pPr>
        <w:pStyle w:val="Prrafodelista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Consejo clave</w:t>
      </w:r>
      <w:r w:rsidRPr="2A172991" w:rsidR="5FBF83E7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 -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Implementar </w:t>
      </w:r>
      <w:hyperlink r:id="rId21">
        <w:r w:rsidRPr="2A172991">
          <w:rPr>
            <w:rStyle w:val="Hipervnculo"/>
            <w:rFonts w:ascii="Calibri" w:hAnsi="Calibri" w:eastAsia="Calibri" w:cs="Calibri"/>
            <w:sz w:val="20"/>
            <w:szCs w:val="20"/>
          </w:rPr>
          <w:t xml:space="preserve">sensores </w:t>
        </w:r>
        <w:r w:rsidRPr="2A172991" w:rsidR="1D177E14">
          <w:rPr>
            <w:rStyle w:val="Hipervnculo"/>
            <w:rFonts w:ascii="Calibri" w:hAnsi="Calibri" w:eastAsia="Calibri" w:cs="Calibri"/>
            <w:sz w:val="20"/>
            <w:szCs w:val="20"/>
          </w:rPr>
          <w:t xml:space="preserve">de </w:t>
        </w:r>
        <w:r w:rsidRPr="2A172991">
          <w:rPr>
            <w:rStyle w:val="Hipervnculo"/>
            <w:rFonts w:ascii="Calibri" w:hAnsi="Calibri" w:eastAsia="Calibri" w:cs="Calibri"/>
            <w:sz w:val="20"/>
            <w:szCs w:val="20"/>
          </w:rPr>
          <w:t>movimiento</w:t>
        </w:r>
      </w:hyperlink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  <w:r w:rsidRPr="2A172991" w:rsidR="52F5D115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y luz 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>para optimizar el consumo energético sin afectar el confort visual.</w:t>
      </w:r>
    </w:p>
    <w:p w:rsidR="00485AC9" w:rsidP="2A172991" w:rsidRDefault="00485AC9" w14:paraId="225DFB61" w14:textId="36ADCBDA">
      <w:pPr>
        <w:pStyle w:val="Prrafodelista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485AC9" w:rsidP="2A172991" w:rsidRDefault="6EC72035" w14:paraId="0F9AC374" w14:textId="6969F9BA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Oficinas privadas (despachos ejecutivos, salas de dirección)</w:t>
      </w:r>
    </w:p>
    <w:p w:rsidR="00485AC9" w:rsidP="2A172991" w:rsidRDefault="6EC72035" w14:paraId="327D1C0B" w14:textId="50FD4FD4">
      <w:pPr>
        <w:pStyle w:val="Prrafodelista"/>
        <w:numPr>
          <w:ilvl w:val="0"/>
          <w:numId w:val="3"/>
        </w:numPr>
        <w:jc w:val="both"/>
        <w:rPr/>
      </w:pPr>
      <w:r w:rsidRPr="37A95EEE" w:rsidR="6EC720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Tipo de luz</w:t>
      </w:r>
      <w:r w:rsidRPr="37A95EEE" w:rsidR="46F0567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-</w:t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commentRangeStart w:id="3"/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Iluminación cálida</w:t>
      </w:r>
      <w:r w:rsidRPr="37A95EEE" w:rsidR="5722C12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/neutra</w:t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commentRangeEnd w:id="3"/>
      <w:r>
        <w:rPr>
          <w:rStyle w:val="CommentReference"/>
        </w:rPr>
        <w:commentReference w:id="3"/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(3</w:t>
      </w:r>
      <w:r w:rsidRPr="37A95EEE" w:rsidR="2279F2C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000K-4</w:t>
      </w:r>
      <w:r w:rsidRPr="37A95EEE" w:rsidR="7C3057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000K) para una sensación de confort y exclusividad.</w:t>
      </w:r>
    </w:p>
    <w:p w:rsidR="00485AC9" w:rsidP="2A172991" w:rsidRDefault="6EC72035" w14:paraId="392572B8" w14:textId="289DB797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7A95EEE" w:rsidR="6EC720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Disposición</w:t>
      </w:r>
      <w:r w:rsidRPr="37A95EEE" w:rsidR="6FD7EFE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-</w:t>
      </w:r>
      <w:r w:rsidRPr="37A95EEE" w:rsidR="6EC7203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Uso de</w:t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hyperlink r:id="Rbea1bc4f8da0427e">
        <w:r w:rsidRPr="37A95EEE" w:rsidR="4F2D67C8">
          <w:rPr>
            <w:rStyle w:val="Hipervnculo"/>
            <w:rFonts w:ascii="Calibri" w:hAnsi="Calibri" w:eastAsia="Calibri" w:cs="Calibri"/>
            <w:sz w:val="20"/>
            <w:szCs w:val="20"/>
          </w:rPr>
          <w:t>luminarias indirectas</w:t>
        </w:r>
      </w:hyperlink>
      <w:r w:rsidRPr="37A95EEE" w:rsidR="4F2D67C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para evitar sombras duras</w:t>
      </w:r>
      <w:r w:rsidRPr="37A95EEE" w:rsidR="1075B6D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y lámparas de escritorio con iluminación focal</w:t>
      </w:r>
      <w:r w:rsidRPr="37A95EEE" w:rsidR="6EC7203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="00485AC9" w:rsidP="2A172991" w:rsidRDefault="6EC72035" w14:paraId="237D0A9E" w14:textId="553686CC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Consejo clave</w:t>
      </w:r>
      <w:r w:rsidRPr="2A172991" w:rsidR="57185F17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 -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Evitar deslumbramientos en pantallas y superficies brillantes</w:t>
      </w:r>
      <w:r w:rsidRPr="2A172991" w:rsidR="105ADDCE">
        <w:rPr>
          <w:rFonts w:ascii="Calibri" w:hAnsi="Calibri" w:eastAsia="Calibri" w:cs="Calibri"/>
          <w:color w:val="000000" w:themeColor="text1"/>
          <w:sz w:val="20"/>
          <w:szCs w:val="20"/>
        </w:rPr>
        <w:t>,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con filtros antirreflejo o difusores de luz.</w:t>
      </w:r>
    </w:p>
    <w:p w:rsidR="00485AC9" w:rsidP="2A172991" w:rsidRDefault="00485AC9" w14:paraId="356C720C" w14:textId="6C89ABBE">
      <w:pPr>
        <w:pStyle w:val="Prrafodelista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485AC9" w:rsidP="2A172991" w:rsidRDefault="05DCFC6F" w14:paraId="31799A24" w14:textId="75C41907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Áreas de recepción y espera</w:t>
      </w:r>
    </w:p>
    <w:p w:rsidR="00485AC9" w:rsidP="2A172991" w:rsidRDefault="05DCFC6F" w14:paraId="02269E3E" w14:textId="51BCA881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A172991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Tipo de luz</w:t>
      </w:r>
      <w:r w:rsidRPr="2A172991" w:rsidR="2A2ECD20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 -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Iluminación cálida (3</w:t>
      </w:r>
      <w:r w:rsidRPr="2A172991" w:rsidR="3192E3DE">
        <w:rPr>
          <w:rFonts w:ascii="Calibri" w:hAnsi="Calibri" w:eastAsia="Calibri" w:cs="Calibri"/>
          <w:color w:val="000000" w:themeColor="text1"/>
          <w:sz w:val="20"/>
          <w:szCs w:val="20"/>
        </w:rPr>
        <w:t>,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>000K-3</w:t>
      </w:r>
      <w:r w:rsidRPr="2A172991" w:rsidR="786430C4">
        <w:rPr>
          <w:rFonts w:ascii="Calibri" w:hAnsi="Calibri" w:eastAsia="Calibri" w:cs="Calibri"/>
          <w:color w:val="000000" w:themeColor="text1"/>
          <w:sz w:val="20"/>
          <w:szCs w:val="20"/>
        </w:rPr>
        <w:t>,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>500K) para generar una sensación de bienvenida y co</w:t>
      </w:r>
      <w:r w:rsidRPr="2A172991" w:rsidR="6F2D93B7">
        <w:rPr>
          <w:rFonts w:ascii="Calibri" w:hAnsi="Calibri" w:eastAsia="Calibri" w:cs="Calibri"/>
          <w:color w:val="000000" w:themeColor="text1"/>
          <w:sz w:val="20"/>
          <w:szCs w:val="20"/>
        </w:rPr>
        <w:t>modidad</w:t>
      </w:r>
      <w:r w:rsidRPr="2A172991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. </w:t>
      </w:r>
    </w:p>
    <w:p w:rsidR="00485AC9" w:rsidP="2A172991" w:rsidRDefault="05DCFC6F" w14:paraId="63EAB738" w14:textId="73A5A7A2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7A95EEE" w:rsidR="05DCFC6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Disposición</w:t>
      </w:r>
      <w:r w:rsidRPr="37A95EEE" w:rsidR="48E8B37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-</w:t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7A95EEE" w:rsidR="5D5D76C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Luz</w:t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hyperlink r:id="R284051289da14ba4">
        <w:r w:rsidRPr="37A95EEE" w:rsidR="05DCFC6F">
          <w:rPr>
            <w:rStyle w:val="Hipervnculo"/>
            <w:rFonts w:ascii="Calibri" w:hAnsi="Calibri" w:eastAsia="Calibri" w:cs="Calibri"/>
            <w:sz w:val="20"/>
            <w:szCs w:val="20"/>
          </w:rPr>
          <w:t>indirecta</w:t>
        </w:r>
      </w:hyperlink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o </w:t>
      </w:r>
      <w:r w:rsidRPr="37A95EEE" w:rsidR="4FC7A47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que imite </w:t>
      </w:r>
      <w:commentRangeStart w:id="5"/>
      <w:r>
        <w:fldChar w:fldCharType="begin"/>
      </w:r>
      <w:r>
        <w:instrText xml:space="preserve">HYPERLINK "https://construlita.com/productos-iluminacion/alba-seleccion-de-potencia-tcc" \h</w:instrText>
      </w:r>
      <w:r>
        <w:fldChar w:fldCharType="separate"/>
      </w:r>
      <w:r w:rsidRPr="37A95EEE" w:rsidR="05DCFC6F">
        <w:rPr>
          <w:rStyle w:val="Hipervnculo"/>
          <w:rFonts w:ascii="Calibri" w:hAnsi="Calibri" w:eastAsia="Calibri" w:cs="Calibri"/>
          <w:sz w:val="20"/>
          <w:szCs w:val="20"/>
        </w:rPr>
        <w:t>cielos falsos</w:t>
      </w:r>
      <w:r>
        <w:fldChar w:fldCharType="end"/>
      </w:r>
      <w:commentRangeEnd w:id="5"/>
      <w:r>
        <w:rPr>
          <w:rStyle w:val="CommentReference"/>
        </w:rPr>
        <w:commentReference w:id="5"/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para resaltar</w:t>
      </w:r>
      <w:r w:rsidRPr="37A95EEE" w:rsidR="017F27A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tanto</w:t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elementos decorativos </w:t>
      </w:r>
      <w:r w:rsidRPr="37A95EEE" w:rsidR="377393C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como</w:t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la identidad de marca. </w:t>
      </w:r>
    </w:p>
    <w:p w:rsidR="00485AC9" w:rsidP="37A95EEE" w:rsidRDefault="05DCFC6F" w14:paraId="439E8824" w14:textId="21497B9C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7A95EEE" w:rsidR="05DCFC6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Consejo clave</w:t>
      </w:r>
      <w:r w:rsidRPr="37A95EEE" w:rsidR="38CC0B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-</w:t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Usar luces con</w:t>
      </w:r>
      <w:r w:rsidRPr="37A95EEE" w:rsidR="627AFE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hyperlink r:id="Rb5a192bbf0394fe8">
        <w:r w:rsidRPr="37A95EEE" w:rsidR="627AFE88">
          <w:rPr>
            <w:rStyle w:val="Hipervnculo"/>
            <w:rFonts w:ascii="Calibri" w:hAnsi="Calibri" w:eastAsia="Calibri" w:cs="Calibri"/>
            <w:sz w:val="20"/>
            <w:szCs w:val="20"/>
          </w:rPr>
          <w:t>fina reproducción de color</w:t>
        </w:r>
      </w:hyperlink>
      <w:commentRangeStart w:id="6"/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commentRangeEnd w:id="6"/>
      <w:r>
        <w:rPr>
          <w:rStyle w:val="CommentReference"/>
        </w:rPr>
        <w:commentReference w:id="6"/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(CRI 90</w:t>
      </w:r>
      <w:r w:rsidRPr="37A95EEE" w:rsidR="28CE7AA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o superior</w:t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) para destacar elementos de diseño y </w:t>
      </w:r>
      <w:r w:rsidRPr="37A95EEE" w:rsidR="05DCFC6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branding</w:t>
      </w:r>
      <w:r w:rsidRPr="37A95EEE" w:rsidR="05DCFC6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corporativo.</w:t>
      </w:r>
    </w:p>
    <w:p w:rsidR="00485AC9" w:rsidP="43F7C118" w:rsidRDefault="4184913A" w14:paraId="7EB6DD25" w14:textId="0C2230CE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s-ES"/>
        </w:rPr>
      </w:pP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En conclusión, una iluminación bien planificada y 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centrada en el ser humano</w:t>
      </w:r>
      <w:r w:rsidRPr="37A95EEE" w:rsidR="2AA72CA7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, apalancada sobre todo en las tecnologías</w:t>
      </w:r>
      <w:r w:rsidRPr="37A95EEE" w:rsidR="36ABC6F3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de mejora continua</w:t>
      </w:r>
      <w:r w:rsidRPr="37A95EEE" w:rsidR="2AA72CA7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7A95EEE" w:rsidR="2AA72CA7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como </w:t>
      </w:r>
      <w:commentRangeStart w:id="8"/>
      <w:r w:rsidRPr="37A95EEE" w:rsidR="2AA72CA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el LED</w:t>
      </w:r>
      <w:r w:rsidRPr="37A95EEE" w:rsidR="77B4E0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7A95EEE" w:rsidR="77B4E04C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0"/>
          <w:szCs w:val="20"/>
          <w:lang w:val="es-ES"/>
        </w:rPr>
        <w:t>(</w:t>
      </w:r>
      <w:r w:rsidRPr="37A95EEE" w:rsidR="77B4E04C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0"/>
          <w:szCs w:val="20"/>
          <w:lang w:val="es-ES"/>
        </w:rPr>
        <w:t>light-</w:t>
      </w:r>
      <w:r w:rsidRPr="37A95EEE" w:rsidR="77B4E04C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0"/>
          <w:szCs w:val="20"/>
          <w:lang w:val="es-ES"/>
        </w:rPr>
        <w:t>emitting</w:t>
      </w:r>
      <w:r w:rsidRPr="37A95EEE" w:rsidR="77B4E04C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7A95EEE" w:rsidR="77B4E04C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  <w:sz w:val="20"/>
          <w:szCs w:val="20"/>
          <w:lang w:val="es-ES"/>
        </w:rPr>
        <w:t>diode</w:t>
      </w:r>
      <w:r w:rsidRPr="37A95EEE" w:rsidR="77B4E04C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0"/>
          <w:szCs w:val="20"/>
          <w:lang w:val="es-ES"/>
        </w:rPr>
        <w:t>)</w:t>
      </w:r>
      <w:commentRangeEnd w:id="8"/>
      <w:r>
        <w:rPr>
          <w:rStyle w:val="CommentReference"/>
        </w:rPr>
        <w:commentReference w:id="8"/>
      </w:r>
      <w:r w:rsidRPr="37A95EEE" w:rsidR="2AA72CA7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no sólo mejora la salud y el bienestar del talento, sino que también refuerza la identidad de las organizaciones</w:t>
      </w:r>
      <w:r w:rsidRPr="37A95EEE" w:rsidR="0964A444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al crear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37A95EEE" w:rsidR="418491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ES"/>
        </w:rPr>
        <w:t>espacios de trabajo ejemplares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 que benefici</w:t>
      </w:r>
      <w:r w:rsidRPr="37A95EEE" w:rsidR="28F974A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>e</w:t>
      </w:r>
      <w:r w:rsidRPr="37A95EEE" w:rsidR="4184913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ES"/>
        </w:rPr>
        <w:t xml:space="preserve">n a todos. </w:t>
      </w:r>
    </w:p>
    <w:p w:rsidR="00485AC9" w:rsidP="2A172991" w:rsidRDefault="00485AC9" w14:paraId="15FBD5DB" w14:textId="26048F2D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85AC9" w:rsidP="2A172991" w:rsidRDefault="4184913A" w14:paraId="5E83FC61" w14:textId="3DCDAD5C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2A172991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00485AC9" w:rsidP="2A172991" w:rsidRDefault="4184913A" w14:paraId="410B5F0C" w14:textId="667B721A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2A172991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23">
        <w:proofErr w:type="spellStart"/>
        <w:r w:rsidRPr="2A172991">
          <w:rPr>
            <w:rStyle w:val="Hipervnculo"/>
            <w:rFonts w:ascii="Open Sans" w:hAnsi="Open Sans" w:eastAsia="Open Sans" w:cs="Open Sans"/>
            <w:b/>
            <w:bCs/>
            <w:sz w:val="18"/>
            <w:szCs w:val="18"/>
            <w:lang w:val="es-419"/>
          </w:rPr>
          <w:t>Construlita</w:t>
        </w:r>
        <w:proofErr w:type="spellEnd"/>
      </w:hyperlink>
    </w:p>
    <w:p w:rsidR="00485AC9" w:rsidP="2A172991" w:rsidRDefault="4184913A" w14:paraId="0F6E488E" w14:textId="5FBF8AA1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proofErr w:type="spellStart"/>
      <w:r w:rsidRPr="2A172991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Construlita</w:t>
      </w:r>
      <w:proofErr w:type="spellEnd"/>
      <w:r w:rsidRPr="2A172991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2A172991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00485AC9" w:rsidP="2A172991" w:rsidRDefault="00485AC9" w14:paraId="1E2A435F" w14:textId="0CCCEACD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485AC9" w:rsidRDefault="00485AC9" w14:paraId="5C1A07E2" w14:textId="7AB77A30"/>
    <w:sectPr w:rsidR="00485AC9">
      <w:headerReference w:type="default" r:id="rId24"/>
      <w:footerReference w:type="default" r:id="rId2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AE" w:author="Arely Esponda Torreblanca" w:date="2025-02-24T10:21:00Z" w:id="0">
    <w:p w:rsidR="0004598E" w:rsidP="0004598E" w:rsidRDefault="0004598E" w14:paraId="7B29EC0F" w14:textId="77777777">
      <w:pPr>
        <w:pStyle w:val="Textocomentario"/>
      </w:pPr>
      <w:r>
        <w:rPr>
          <w:rStyle w:val="Refdecomentario"/>
        </w:rPr>
        <w:annotationRef/>
      </w:r>
      <w:r>
        <w:t>Cumplir con los niveles de iluminación requeridos por norma ( no entendimos muy bien la oración)</w:t>
      </w:r>
    </w:p>
  </w:comment>
  <w:comment w:initials="AE" w:author="Arely Esponda Torreblanca" w:date="2025-02-24T10:26:00Z" w:id="2">
    <w:p w:rsidR="0004598E" w:rsidP="0004598E" w:rsidRDefault="0004598E" w14:paraId="4B3FCF5B" w14:textId="77777777">
      <w:pPr>
        <w:pStyle w:val="Textocomentario"/>
      </w:pPr>
      <w:r>
        <w:rPr>
          <w:rStyle w:val="Refdecomentario"/>
        </w:rPr>
        <w:annotationRef/>
      </w:r>
      <w:r>
        <w:t>Soluciones enfocadas en el bienestar de quienes viven el espacio a partir  ...</w:t>
      </w:r>
    </w:p>
  </w:comment>
  <w:comment w:initials="AE" w:author="Arely Esponda Torreblanca" w:date="2025-02-24T10:31:00Z" w:id="3">
    <w:p w:rsidR="00CE43D1" w:rsidP="00CE43D1" w:rsidRDefault="00CE43D1" w14:paraId="2D2B0B33" w14:textId="77777777">
      <w:pPr>
        <w:pStyle w:val="Textocomentario"/>
      </w:pPr>
      <w:r>
        <w:rPr>
          <w:rStyle w:val="Refdecomentario"/>
        </w:rPr>
        <w:annotationRef/>
      </w:r>
      <w:r>
        <w:t>Iluminación cálida/neutra</w:t>
      </w:r>
    </w:p>
  </w:comment>
  <w:comment w:initials="AE" w:author="Arely Esponda Torreblanca" w:date="2025-02-24T10:34:00Z" w:id="5">
    <w:p w:rsidR="00CE43D1" w:rsidP="00CE43D1" w:rsidRDefault="00CE43D1" w14:paraId="09F52D9F" w14:textId="77777777">
      <w:pPr>
        <w:pStyle w:val="Textocomentario"/>
      </w:pPr>
      <w:r>
        <w:rPr>
          <w:rStyle w:val="Refdecomentario"/>
        </w:rPr>
        <w:annotationRef/>
      </w:r>
      <w:r>
        <w:t>Mandar link azura</w:t>
      </w:r>
    </w:p>
  </w:comment>
  <w:comment w:initials="AE" w:author="Arely Esponda Torreblanca" w:date="2025-02-24T10:34:00Z" w:id="6">
    <w:p w:rsidR="00CE43D1" w:rsidP="00CE43D1" w:rsidRDefault="00CE43D1" w14:paraId="55593344" w14:textId="77777777">
      <w:pPr>
        <w:pStyle w:val="Textocomentario"/>
      </w:pPr>
      <w:r>
        <w:rPr>
          <w:rStyle w:val="Refdecomentario"/>
        </w:rPr>
        <w:annotationRef/>
      </w:r>
      <w:r>
        <w:t>Mandar link ALFA</w:t>
      </w:r>
    </w:p>
  </w:comment>
  <w:comment w:initials="AE" w:author="Arely Esponda Torreblanca" w:date="2025-02-24T10:37:00Z" w:id="8">
    <w:p w:rsidR="001743CC" w:rsidP="001743CC" w:rsidRDefault="001743CC" w14:paraId="23EBA0A4" w14:textId="77777777">
      <w:pPr>
        <w:pStyle w:val="Textocomentario"/>
      </w:pPr>
      <w:r>
        <w:rPr>
          <w:rStyle w:val="Refdecomentario"/>
        </w:rPr>
        <w:annotationRef/>
      </w:r>
      <w:r>
        <w:t>Como el LED (lighting emitting diode)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B29EC0F"/>
  <w15:commentEx w15:done="1" w15:paraId="4B3FCF5B"/>
  <w15:commentEx w15:done="1" w15:paraId="2D2B0B33"/>
  <w15:commentEx w15:done="1" w15:paraId="09F52D9F"/>
  <w15:commentEx w15:done="1" w15:paraId="55593344"/>
  <w15:commentEx w15:done="1" w15:paraId="23EBA0A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CCC72D" w16cex:dateUtc="2025-02-24T16:21:00Z"/>
  <w16cex:commentExtensible w16cex:durableId="0F83E896" w16cex:dateUtc="2025-02-24T16:26:00Z"/>
  <w16cex:commentExtensible w16cex:durableId="31020377" w16cex:dateUtc="2025-02-24T16:31:00Z"/>
  <w16cex:commentExtensible w16cex:durableId="0E6A4E2C" w16cex:dateUtc="2025-02-24T16:34:00Z"/>
  <w16cex:commentExtensible w16cex:durableId="26CBFE26" w16cex:dateUtc="2025-02-24T16:34:00Z"/>
  <w16cex:commentExtensible w16cex:durableId="00B46E5D" w16cex:dateUtc="2025-02-24T16:3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29EC0F" w16cid:durableId="63CCC72D"/>
  <w16cid:commentId w16cid:paraId="4B3FCF5B" w16cid:durableId="0F83E896"/>
  <w16cid:commentId w16cid:paraId="2D2B0B33" w16cid:durableId="31020377"/>
  <w16cid:commentId w16cid:paraId="09F52D9F" w16cid:durableId="0E6A4E2C"/>
  <w16cid:commentId w16cid:paraId="55593344" w16cid:durableId="26CBFE26"/>
  <w16cid:commentId w16cid:paraId="23EBA0A4" w16cid:durableId="00B46E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4AC" w:rsidRDefault="006E34AC" w14:paraId="6FBD5AB6" w14:textId="77777777">
      <w:pPr>
        <w:spacing w:after="0" w:line="240" w:lineRule="auto"/>
      </w:pPr>
      <w:r>
        <w:separator/>
      </w:r>
    </w:p>
  </w:endnote>
  <w:endnote w:type="continuationSeparator" w:id="0">
    <w:p w:rsidR="006E34AC" w:rsidRDefault="006E34AC" w14:paraId="1EEBE2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172991" w:rsidTr="2A172991" w14:paraId="6A308749" w14:textId="77777777">
      <w:trPr>
        <w:trHeight w:val="300"/>
      </w:trPr>
      <w:tc>
        <w:tcPr>
          <w:tcW w:w="3005" w:type="dxa"/>
        </w:tcPr>
        <w:p w:rsidR="2A172991" w:rsidP="2A172991" w:rsidRDefault="2A172991" w14:paraId="4D800863" w14:textId="25A36704">
          <w:pPr>
            <w:pStyle w:val="Encabezado"/>
            <w:ind w:left="-115"/>
          </w:pPr>
        </w:p>
      </w:tc>
      <w:tc>
        <w:tcPr>
          <w:tcW w:w="3005" w:type="dxa"/>
        </w:tcPr>
        <w:p w:rsidR="2A172991" w:rsidP="2A172991" w:rsidRDefault="2A172991" w14:paraId="2978242D" w14:textId="1AE4F753">
          <w:pPr>
            <w:pStyle w:val="Encabezado"/>
            <w:jc w:val="center"/>
          </w:pPr>
        </w:p>
      </w:tc>
      <w:tc>
        <w:tcPr>
          <w:tcW w:w="3005" w:type="dxa"/>
        </w:tcPr>
        <w:p w:rsidR="2A172991" w:rsidP="2A172991" w:rsidRDefault="2A172991" w14:paraId="5D995F16" w14:textId="7F3898DD">
          <w:pPr>
            <w:pStyle w:val="Encabezado"/>
            <w:ind w:right="-115"/>
            <w:jc w:val="right"/>
          </w:pPr>
        </w:p>
      </w:tc>
    </w:tr>
  </w:tbl>
  <w:p w:rsidR="2A172991" w:rsidP="2A172991" w:rsidRDefault="2A172991" w14:paraId="4A58C1A3" w14:textId="44D706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4AC" w:rsidRDefault="006E34AC" w14:paraId="6A17018C" w14:textId="77777777">
      <w:pPr>
        <w:spacing w:after="0" w:line="240" w:lineRule="auto"/>
      </w:pPr>
      <w:r>
        <w:separator/>
      </w:r>
    </w:p>
  </w:footnote>
  <w:footnote w:type="continuationSeparator" w:id="0">
    <w:p w:rsidR="006E34AC" w:rsidRDefault="006E34AC" w14:paraId="04687E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2A172991" w:rsidP="2A172991" w:rsidRDefault="2A172991" w14:paraId="65203C3C" w14:textId="00ACF358">
    <w:pPr>
      <w:pStyle w:val="Encabezado"/>
    </w:pPr>
    <w:r>
      <w:rPr>
        <w:noProof/>
      </w:rPr>
      <w:drawing>
        <wp:inline distT="0" distB="0" distL="0" distR="0" wp14:anchorId="26A74C76" wp14:editId="6C115540">
          <wp:extent cx="2286000" cy="457200"/>
          <wp:effectExtent l="0" t="0" r="0" b="0"/>
          <wp:docPr id="393168681" name="Imagen 393168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CCWaoTU" int2:invalidationBookmarkName="" int2:hashCode="rGxxmxg3k9RP4L" int2:id="2eXLIYC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C09D"/>
    <w:multiLevelType w:val="hybridMultilevel"/>
    <w:tmpl w:val="09B8351E"/>
    <w:lvl w:ilvl="0" w:tplc="45E852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347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26CC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AED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40E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2C1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CA8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80A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C44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A51EA5"/>
    <w:multiLevelType w:val="hybridMultilevel"/>
    <w:tmpl w:val="9DEE4EE8"/>
    <w:lvl w:ilvl="0" w:tplc="71089AF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3024B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6EBE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AC8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12C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8ACC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EA63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64D8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C644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DCE5E"/>
    <w:multiLevelType w:val="hybridMultilevel"/>
    <w:tmpl w:val="EA0A25D4"/>
    <w:lvl w:ilvl="0" w:tplc="A12A59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26AC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9896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6A5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6ED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C6F2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C4F2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129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6F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F84AE6"/>
    <w:multiLevelType w:val="hybridMultilevel"/>
    <w:tmpl w:val="1B4C8DBE"/>
    <w:lvl w:ilvl="0" w:tplc="31889D8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9F26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8A8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B66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4E6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CCF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849B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8E1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2E3A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562CA0"/>
    <w:multiLevelType w:val="hybridMultilevel"/>
    <w:tmpl w:val="3902732C"/>
    <w:lvl w:ilvl="0" w:tplc="C4A6B4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C26E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1E1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4F2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A657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76FE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FED3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CA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E29E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E56FC3"/>
    <w:multiLevelType w:val="hybridMultilevel"/>
    <w:tmpl w:val="DEEC8CA6"/>
    <w:lvl w:ilvl="0" w:tplc="68D081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AE62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40F5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1019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A67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F6D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249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94B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8B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982204">
    <w:abstractNumId w:val="3"/>
  </w:num>
  <w:num w:numId="2" w16cid:durableId="445781087">
    <w:abstractNumId w:val="0"/>
  </w:num>
  <w:num w:numId="3" w16cid:durableId="827401610">
    <w:abstractNumId w:val="1"/>
  </w:num>
  <w:num w:numId="4" w16cid:durableId="1360200383">
    <w:abstractNumId w:val="4"/>
  </w:num>
  <w:num w:numId="5" w16cid:durableId="131213128">
    <w:abstractNumId w:val="2"/>
  </w:num>
  <w:num w:numId="6" w16cid:durableId="6160855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ely Esponda Torreblanca">
    <w15:presenceInfo w15:providerId="AD" w15:userId="S::arely.esponda@grupoconstrulita.com::07c916b0-e1d6-4d82-b74b-f0655b09fe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240AE9"/>
    <w:rsid w:val="0004598E"/>
    <w:rsid w:val="001743CC"/>
    <w:rsid w:val="00485AC9"/>
    <w:rsid w:val="00673C01"/>
    <w:rsid w:val="006E34AC"/>
    <w:rsid w:val="00813FC1"/>
    <w:rsid w:val="00CE43D1"/>
    <w:rsid w:val="00D92A13"/>
    <w:rsid w:val="017F27A3"/>
    <w:rsid w:val="039B8BE6"/>
    <w:rsid w:val="04AFC931"/>
    <w:rsid w:val="05BD9378"/>
    <w:rsid w:val="05DCFC6F"/>
    <w:rsid w:val="082B5C49"/>
    <w:rsid w:val="0964A444"/>
    <w:rsid w:val="0C4C68FF"/>
    <w:rsid w:val="0D1652DF"/>
    <w:rsid w:val="0DA5331A"/>
    <w:rsid w:val="105ADDCE"/>
    <w:rsid w:val="1075B6D7"/>
    <w:rsid w:val="10E437CD"/>
    <w:rsid w:val="131CBDDD"/>
    <w:rsid w:val="13AC1202"/>
    <w:rsid w:val="15485BEF"/>
    <w:rsid w:val="1591C889"/>
    <w:rsid w:val="16969F96"/>
    <w:rsid w:val="16C94075"/>
    <w:rsid w:val="16CC436B"/>
    <w:rsid w:val="191F98C6"/>
    <w:rsid w:val="19989E3E"/>
    <w:rsid w:val="19C861E2"/>
    <w:rsid w:val="1A674B8E"/>
    <w:rsid w:val="1C6D668F"/>
    <w:rsid w:val="1D145C35"/>
    <w:rsid w:val="1D177E14"/>
    <w:rsid w:val="1E44A364"/>
    <w:rsid w:val="1EB28A32"/>
    <w:rsid w:val="1F496793"/>
    <w:rsid w:val="20C482D9"/>
    <w:rsid w:val="21AB9D83"/>
    <w:rsid w:val="2254DBD5"/>
    <w:rsid w:val="2279F2C1"/>
    <w:rsid w:val="22B64B9F"/>
    <w:rsid w:val="23F1CD9E"/>
    <w:rsid w:val="244206B2"/>
    <w:rsid w:val="2544845D"/>
    <w:rsid w:val="2747DB8F"/>
    <w:rsid w:val="27F927C5"/>
    <w:rsid w:val="284D120F"/>
    <w:rsid w:val="28A7448D"/>
    <w:rsid w:val="28CE7AAF"/>
    <w:rsid w:val="28F974AA"/>
    <w:rsid w:val="299EB3B9"/>
    <w:rsid w:val="29C0C76B"/>
    <w:rsid w:val="2A172991"/>
    <w:rsid w:val="2A2ECD20"/>
    <w:rsid w:val="2AA72CA7"/>
    <w:rsid w:val="2AEE2B1F"/>
    <w:rsid w:val="2B8A042B"/>
    <w:rsid w:val="2C7BD18D"/>
    <w:rsid w:val="2DA67E37"/>
    <w:rsid w:val="2EC2056A"/>
    <w:rsid w:val="2F078F96"/>
    <w:rsid w:val="2F7772C7"/>
    <w:rsid w:val="301F01C4"/>
    <w:rsid w:val="30BB7B9B"/>
    <w:rsid w:val="31817B73"/>
    <w:rsid w:val="3192E3DE"/>
    <w:rsid w:val="326D263E"/>
    <w:rsid w:val="3573C4E2"/>
    <w:rsid w:val="35E71C23"/>
    <w:rsid w:val="36ABC6F3"/>
    <w:rsid w:val="37196FC3"/>
    <w:rsid w:val="376A9739"/>
    <w:rsid w:val="377393CF"/>
    <w:rsid w:val="37A95EEE"/>
    <w:rsid w:val="37C74047"/>
    <w:rsid w:val="38CC0BF4"/>
    <w:rsid w:val="399D4A52"/>
    <w:rsid w:val="39A8713F"/>
    <w:rsid w:val="3A099D90"/>
    <w:rsid w:val="3A4A0C29"/>
    <w:rsid w:val="3BF591C0"/>
    <w:rsid w:val="3C001C53"/>
    <w:rsid w:val="3E41A6B2"/>
    <w:rsid w:val="4184913A"/>
    <w:rsid w:val="4199D71A"/>
    <w:rsid w:val="431D99C7"/>
    <w:rsid w:val="43F7C118"/>
    <w:rsid w:val="44484B2C"/>
    <w:rsid w:val="46196028"/>
    <w:rsid w:val="46F0567B"/>
    <w:rsid w:val="477A2107"/>
    <w:rsid w:val="47BF5010"/>
    <w:rsid w:val="4858BD96"/>
    <w:rsid w:val="48D1F5FA"/>
    <w:rsid w:val="48E8B372"/>
    <w:rsid w:val="4A0BAAF9"/>
    <w:rsid w:val="4A9BC07A"/>
    <w:rsid w:val="4AF43929"/>
    <w:rsid w:val="4B85DD49"/>
    <w:rsid w:val="4D560EA6"/>
    <w:rsid w:val="4E095BF3"/>
    <w:rsid w:val="4EE263F2"/>
    <w:rsid w:val="4F2D67C8"/>
    <w:rsid w:val="4FC7A47F"/>
    <w:rsid w:val="50E62245"/>
    <w:rsid w:val="52F5D115"/>
    <w:rsid w:val="53550343"/>
    <w:rsid w:val="53ACC635"/>
    <w:rsid w:val="55695CF9"/>
    <w:rsid w:val="559AEBEF"/>
    <w:rsid w:val="56500CE1"/>
    <w:rsid w:val="565FBBBF"/>
    <w:rsid w:val="57185F17"/>
    <w:rsid w:val="5722C12A"/>
    <w:rsid w:val="574E3B0B"/>
    <w:rsid w:val="57CC03D5"/>
    <w:rsid w:val="58DABA83"/>
    <w:rsid w:val="59352112"/>
    <w:rsid w:val="5A1BAF86"/>
    <w:rsid w:val="5A306EAF"/>
    <w:rsid w:val="5AE55D69"/>
    <w:rsid w:val="5BBEF5A7"/>
    <w:rsid w:val="5C18527A"/>
    <w:rsid w:val="5CE315F9"/>
    <w:rsid w:val="5D5D76C6"/>
    <w:rsid w:val="5E6C5693"/>
    <w:rsid w:val="5FBF83E7"/>
    <w:rsid w:val="60BDD7B5"/>
    <w:rsid w:val="60C65803"/>
    <w:rsid w:val="60E86CBF"/>
    <w:rsid w:val="627AFE88"/>
    <w:rsid w:val="62D27719"/>
    <w:rsid w:val="62E69CC8"/>
    <w:rsid w:val="62F9AE0C"/>
    <w:rsid w:val="6308CAD4"/>
    <w:rsid w:val="642D9830"/>
    <w:rsid w:val="64309016"/>
    <w:rsid w:val="68C4AD43"/>
    <w:rsid w:val="69A2DBD4"/>
    <w:rsid w:val="6C25DCC6"/>
    <w:rsid w:val="6CBAEEA7"/>
    <w:rsid w:val="6D240AE9"/>
    <w:rsid w:val="6D89CA41"/>
    <w:rsid w:val="6E0D1526"/>
    <w:rsid w:val="6E8CC628"/>
    <w:rsid w:val="6EC72035"/>
    <w:rsid w:val="6F2D93B7"/>
    <w:rsid w:val="6FD7EFE0"/>
    <w:rsid w:val="70568FFD"/>
    <w:rsid w:val="70B6F6D1"/>
    <w:rsid w:val="720645E2"/>
    <w:rsid w:val="7243E245"/>
    <w:rsid w:val="72CA81D6"/>
    <w:rsid w:val="7300AD39"/>
    <w:rsid w:val="73E9F717"/>
    <w:rsid w:val="75CD1684"/>
    <w:rsid w:val="7716C5E4"/>
    <w:rsid w:val="7760E075"/>
    <w:rsid w:val="77B4E04C"/>
    <w:rsid w:val="77E9600E"/>
    <w:rsid w:val="786430C4"/>
    <w:rsid w:val="79CC45F4"/>
    <w:rsid w:val="79F74387"/>
    <w:rsid w:val="7C3057A9"/>
    <w:rsid w:val="7C31E209"/>
    <w:rsid w:val="7C803E72"/>
    <w:rsid w:val="7F72D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0AE9"/>
  <w15:chartTrackingRefBased/>
  <w15:docId w15:val="{A25AECEE-1540-410A-822B-02699C0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2A172991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2A17299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2A172991"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45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598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459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598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4598E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E43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construlitaconnect.com/productos/4" TargetMode="Externa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construlita.com/productos-iluminacion/aurora" TargetMode="External" Id="rId20" /><Relationship Type="http://schemas.microsoft.com/office/2020/10/relationships/intelligence" Target="intelligence2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omments" Target="comments.xml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openxmlformats.org/officeDocument/2006/relationships/hyperlink" Target="https://tecnolite.lat/blog/especialistas/la-correcta-iluminacion-aumenta-la-productividad-en-oficinas/" TargetMode="External" Id="rId15" /><Relationship Type="http://schemas.openxmlformats.org/officeDocument/2006/relationships/hyperlink" Target="https://construlita.com/nosotros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construlita.com/productos-iluminacion/paneled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8/08/relationships/commentsExtensible" Target="commentsExtensible.xml" Id="rId14" /><Relationship Type="http://schemas.microsoft.com/office/2011/relationships/people" Target="people.xml" Id="rId27" /><Relationship Type="http://schemas.openxmlformats.org/officeDocument/2006/relationships/hyperlink" Target="https://repositorio.ucp.pt/bitstream/10400.14/41635/1/203299868.pdf" TargetMode="External" Id="Rcf8d13ea238d40c7" /><Relationship Type="http://schemas.openxmlformats.org/officeDocument/2006/relationships/hyperlink" Target="https://construlita.com/iluminacion-oficinas" TargetMode="External" Id="Ref5d49d777ac4ab3" /><Relationship Type="http://schemas.openxmlformats.org/officeDocument/2006/relationships/hyperlink" Target="https://www.insst.es/documents/94886/5326464/Evaluacion+y+acondicionamiento+de+la+iluminacion+en+puestos+de+trabajo+ergonomico+2024.pdf/4db3cf60-2a36-6d69-b6a2-ffa8d61d8b3d?t=1732275882081" TargetMode="External" Id="R73e0fb86ab7f4366" /><Relationship Type="http://schemas.openxmlformats.org/officeDocument/2006/relationships/hyperlink" Target="https://www.grupoconstrulita.com/" TargetMode="External" Id="R92a9e232d93e42d9" /><Relationship Type="http://schemas.openxmlformats.org/officeDocument/2006/relationships/hyperlink" Target="https://construlita.com/productos-iluminacion/trazzo" TargetMode="External" Id="Rbea1bc4f8da0427e" /><Relationship Type="http://schemas.openxmlformats.org/officeDocument/2006/relationships/hyperlink" Target="https://www.construlita.com/productos-iluminacion/lynlight" TargetMode="External" Id="R284051289da14ba4" /><Relationship Type="http://schemas.openxmlformats.org/officeDocument/2006/relationships/hyperlink" Target="https://construlita.com/productos-iluminacion/alfa" TargetMode="External" Id="Rb5a192bbf0394f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9" ma:contentTypeDescription="Create a new document." ma:contentTypeScope="" ma:versionID="ae56a988c0e4afcba2cab16688a3025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b9601177ee0657aea5c3beb3514a9b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D395E-D7A6-4A01-ACDA-BBD89F7EED53}"/>
</file>

<file path=customXml/itemProps2.xml><?xml version="1.0" encoding="utf-8"?>
<ds:datastoreItem xmlns:ds="http://schemas.openxmlformats.org/officeDocument/2006/customXml" ds:itemID="{23955DB7-B82B-4D78-9704-A4DE729E8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6EA69-954E-4169-99AE-E2FB588FA5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4</revision>
  <dcterms:created xsi:type="dcterms:W3CDTF">2025-02-24T16:41:00.0000000Z</dcterms:created>
  <dcterms:modified xsi:type="dcterms:W3CDTF">2025-02-25T01:09:40.3737042Z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